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201" w:rsidRDefault="00821201" w:rsidP="00821201">
      <w:pPr>
        <w:rPr>
          <w:rFonts w:ascii="Times New Roman" w:hAnsi="Times New Roman" w:cs="Times New Roman"/>
          <w:b/>
          <w:sz w:val="24"/>
          <w:szCs w:val="24"/>
        </w:rPr>
      </w:pPr>
      <w:bookmarkStart w:id="0" w:name="_GoBack"/>
      <w:bookmarkEnd w:id="0"/>
      <w:r>
        <w:rPr>
          <w:noProof/>
        </w:rPr>
        <w:drawing>
          <wp:inline distT="0" distB="0" distL="0" distR="0" wp14:anchorId="2D8549C8" wp14:editId="6D6C3DDE">
            <wp:extent cx="1152525" cy="934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 apple logo.jpg"/>
                    <pic:cNvPicPr/>
                  </pic:nvPicPr>
                  <pic:blipFill>
                    <a:blip r:embed="rId8">
                      <a:extLst>
                        <a:ext uri="{28A0092B-C50C-407E-A947-70E740481C1C}">
                          <a14:useLocalDpi xmlns:a14="http://schemas.microsoft.com/office/drawing/2010/main" val="0"/>
                        </a:ext>
                      </a:extLst>
                    </a:blip>
                    <a:stretch>
                      <a:fillRect/>
                    </a:stretch>
                  </pic:blipFill>
                  <pic:spPr>
                    <a:xfrm>
                      <a:off x="0" y="0"/>
                      <a:ext cx="1153987" cy="935666"/>
                    </a:xfrm>
                    <a:prstGeom prst="rect">
                      <a:avLst/>
                    </a:prstGeom>
                  </pic:spPr>
                </pic:pic>
              </a:graphicData>
            </a:graphic>
          </wp:inline>
        </w:drawing>
      </w:r>
      <w:r w:rsidRPr="00C13155">
        <w:rPr>
          <w:rFonts w:ascii="Times New Roman" w:hAnsi="Times New Roman" w:cs="Times New Roman"/>
          <w:b/>
          <w:sz w:val="24"/>
          <w:szCs w:val="24"/>
        </w:rPr>
        <w:t xml:space="preserve"> </w:t>
      </w:r>
    </w:p>
    <w:p w:rsidR="00821201" w:rsidRDefault="00821201" w:rsidP="00821201">
      <w:pPr>
        <w:rPr>
          <w:rFonts w:ascii="Times New Roman" w:hAnsi="Times New Roman" w:cs="Times New Roman"/>
          <w:b/>
          <w:sz w:val="24"/>
          <w:szCs w:val="24"/>
        </w:rPr>
      </w:pPr>
      <w:r w:rsidRPr="008116A8">
        <w:rPr>
          <w:rFonts w:ascii="Times New Roman" w:hAnsi="Times New Roman" w:cs="Times New Roman"/>
          <w:b/>
          <w:sz w:val="24"/>
          <w:szCs w:val="24"/>
        </w:rPr>
        <w:t>Unit Assessment Report:</w:t>
      </w:r>
      <w:r w:rsidR="00175DDC">
        <w:rPr>
          <w:rFonts w:ascii="Times New Roman" w:hAnsi="Times New Roman" w:cs="Times New Roman"/>
          <w:b/>
          <w:sz w:val="24"/>
          <w:szCs w:val="24"/>
        </w:rPr>
        <w:t xml:space="preserve"> Assessment #4 – </w:t>
      </w:r>
      <w:r w:rsidR="007A3D49">
        <w:rPr>
          <w:rFonts w:ascii="Times New Roman" w:hAnsi="Times New Roman" w:cs="Times New Roman"/>
          <w:b/>
          <w:sz w:val="24"/>
          <w:szCs w:val="24"/>
        </w:rPr>
        <w:t>Clinical Practice Evaluation</w:t>
      </w:r>
    </w:p>
    <w:p w:rsidR="00821201" w:rsidRDefault="00821201" w:rsidP="00821201">
      <w:pPr>
        <w:rPr>
          <w:rFonts w:ascii="Times New Roman" w:hAnsi="Times New Roman" w:cs="Times New Roman"/>
          <w:b/>
          <w:sz w:val="24"/>
          <w:szCs w:val="24"/>
        </w:rPr>
      </w:pPr>
      <w:r>
        <w:rPr>
          <w:rFonts w:ascii="Times New Roman" w:hAnsi="Times New Roman" w:cs="Times New Roman"/>
          <w:b/>
          <w:sz w:val="24"/>
          <w:szCs w:val="24"/>
        </w:rPr>
        <w:t>School Year:</w:t>
      </w:r>
      <w:r>
        <w:rPr>
          <w:rFonts w:ascii="Times New Roman" w:hAnsi="Times New Roman" w:cs="Times New Roman"/>
          <w:b/>
          <w:sz w:val="24"/>
          <w:szCs w:val="24"/>
        </w:rPr>
        <w:tab/>
      </w:r>
      <w:r w:rsidR="00175DDC">
        <w:rPr>
          <w:rFonts w:ascii="Times New Roman" w:hAnsi="Times New Roman" w:cs="Times New Roman"/>
          <w:b/>
          <w:sz w:val="24"/>
          <w:szCs w:val="24"/>
        </w:rPr>
        <w:t>2012-2013</w:t>
      </w:r>
    </w:p>
    <w:p w:rsidR="00821201" w:rsidRDefault="00821201"/>
    <w:tbl>
      <w:tblPr>
        <w:tblStyle w:val="TableGrid"/>
        <w:tblW w:w="0" w:type="auto"/>
        <w:tblLook w:val="04A0" w:firstRow="1" w:lastRow="0" w:firstColumn="1" w:lastColumn="0" w:noHBand="0" w:noVBand="1"/>
      </w:tblPr>
      <w:tblGrid>
        <w:gridCol w:w="7218"/>
        <w:gridCol w:w="1948"/>
      </w:tblGrid>
      <w:tr w:rsidR="00821201" w:rsidTr="000B0C7B">
        <w:trPr>
          <w:trHeight w:val="75"/>
        </w:trPr>
        <w:tc>
          <w:tcPr>
            <w:tcW w:w="7218" w:type="dxa"/>
          </w:tcPr>
          <w:p w:rsidR="00821201" w:rsidRPr="00535D57" w:rsidRDefault="00821201" w:rsidP="000B0C7B">
            <w:pPr>
              <w:rPr>
                <w:b/>
                <w:sz w:val="28"/>
                <w:szCs w:val="28"/>
              </w:rPr>
            </w:pPr>
            <w:r>
              <w:rPr>
                <w:b/>
                <w:sz w:val="28"/>
                <w:szCs w:val="28"/>
              </w:rPr>
              <w:t xml:space="preserve">Initial </w:t>
            </w:r>
            <w:r w:rsidRPr="00535D57">
              <w:rPr>
                <w:b/>
                <w:sz w:val="28"/>
                <w:szCs w:val="28"/>
              </w:rPr>
              <w:t>Program</w:t>
            </w:r>
            <w:r>
              <w:rPr>
                <w:b/>
                <w:sz w:val="28"/>
                <w:szCs w:val="28"/>
              </w:rPr>
              <w:t xml:space="preserve">s </w:t>
            </w:r>
            <w:r w:rsidRPr="00535D57">
              <w:rPr>
                <w:b/>
                <w:sz w:val="28"/>
                <w:szCs w:val="28"/>
              </w:rPr>
              <w:t xml:space="preserve"> </w:t>
            </w:r>
          </w:p>
        </w:tc>
        <w:tc>
          <w:tcPr>
            <w:tcW w:w="1948" w:type="dxa"/>
          </w:tcPr>
          <w:p w:rsidR="00821201" w:rsidRPr="00535D57" w:rsidRDefault="00821201" w:rsidP="00E36CD6">
            <w:pPr>
              <w:jc w:val="center"/>
              <w:rPr>
                <w:b/>
                <w:sz w:val="28"/>
                <w:szCs w:val="28"/>
              </w:rPr>
            </w:pPr>
            <w:r w:rsidRPr="00535D57">
              <w:rPr>
                <w:b/>
                <w:sz w:val="28"/>
                <w:szCs w:val="28"/>
              </w:rPr>
              <w:t>Mean Score</w:t>
            </w:r>
          </w:p>
        </w:tc>
      </w:tr>
      <w:tr w:rsidR="00821201" w:rsidTr="00175DDC">
        <w:trPr>
          <w:trHeight w:val="332"/>
        </w:trPr>
        <w:tc>
          <w:tcPr>
            <w:tcW w:w="7218" w:type="dxa"/>
          </w:tcPr>
          <w:p w:rsidR="00821201" w:rsidRPr="00535D57" w:rsidRDefault="00821201" w:rsidP="000B0C7B">
            <w:pPr>
              <w:rPr>
                <w:sz w:val="24"/>
                <w:szCs w:val="24"/>
              </w:rPr>
            </w:pPr>
            <w:r>
              <w:rPr>
                <w:sz w:val="24"/>
                <w:szCs w:val="24"/>
              </w:rPr>
              <w:t>Elementary Education -  Undergraduate</w:t>
            </w:r>
          </w:p>
        </w:tc>
        <w:tc>
          <w:tcPr>
            <w:tcW w:w="1948" w:type="dxa"/>
          </w:tcPr>
          <w:p w:rsidR="00821201" w:rsidRPr="00535D57" w:rsidRDefault="00FE508F" w:rsidP="00E36CD6">
            <w:pPr>
              <w:jc w:val="center"/>
              <w:rPr>
                <w:sz w:val="24"/>
                <w:szCs w:val="24"/>
              </w:rPr>
            </w:pPr>
            <w:r>
              <w:rPr>
                <w:sz w:val="24"/>
                <w:szCs w:val="24"/>
              </w:rPr>
              <w:t>3.85</w:t>
            </w:r>
          </w:p>
        </w:tc>
      </w:tr>
      <w:tr w:rsidR="00821201" w:rsidTr="000B0C7B">
        <w:trPr>
          <w:trHeight w:val="289"/>
        </w:trPr>
        <w:tc>
          <w:tcPr>
            <w:tcW w:w="7218" w:type="dxa"/>
          </w:tcPr>
          <w:p w:rsidR="00821201" w:rsidRDefault="00821201" w:rsidP="000B0C7B">
            <w:r>
              <w:rPr>
                <w:sz w:val="24"/>
                <w:szCs w:val="24"/>
              </w:rPr>
              <w:t>Elementary Education – Graduate Evening Masters</w:t>
            </w:r>
          </w:p>
        </w:tc>
        <w:tc>
          <w:tcPr>
            <w:tcW w:w="1948" w:type="dxa"/>
          </w:tcPr>
          <w:p w:rsidR="00821201" w:rsidRPr="00535D57" w:rsidRDefault="00FE508F" w:rsidP="00E36CD6">
            <w:pPr>
              <w:jc w:val="center"/>
              <w:rPr>
                <w:sz w:val="24"/>
                <w:szCs w:val="24"/>
              </w:rPr>
            </w:pPr>
            <w:r>
              <w:rPr>
                <w:sz w:val="24"/>
                <w:szCs w:val="24"/>
              </w:rPr>
              <w:t>3.77</w:t>
            </w:r>
          </w:p>
        </w:tc>
      </w:tr>
      <w:tr w:rsidR="00821201" w:rsidTr="000B0C7B">
        <w:trPr>
          <w:trHeight w:val="273"/>
        </w:trPr>
        <w:tc>
          <w:tcPr>
            <w:tcW w:w="7218" w:type="dxa"/>
          </w:tcPr>
          <w:p w:rsidR="00821201" w:rsidRDefault="00821201" w:rsidP="000B0C7B">
            <w:r>
              <w:t>Special Education Undergraduate</w:t>
            </w:r>
          </w:p>
        </w:tc>
        <w:tc>
          <w:tcPr>
            <w:tcW w:w="1948" w:type="dxa"/>
          </w:tcPr>
          <w:p w:rsidR="00821201" w:rsidRPr="00535D57" w:rsidRDefault="00EE0484" w:rsidP="00E36CD6">
            <w:pPr>
              <w:jc w:val="center"/>
              <w:rPr>
                <w:sz w:val="24"/>
                <w:szCs w:val="24"/>
              </w:rPr>
            </w:pPr>
            <w:r>
              <w:rPr>
                <w:sz w:val="24"/>
                <w:szCs w:val="24"/>
              </w:rPr>
              <w:t>3.15</w:t>
            </w:r>
          </w:p>
        </w:tc>
      </w:tr>
      <w:tr w:rsidR="00821201" w:rsidTr="000B0C7B">
        <w:trPr>
          <w:trHeight w:val="289"/>
        </w:trPr>
        <w:tc>
          <w:tcPr>
            <w:tcW w:w="7218" w:type="dxa"/>
          </w:tcPr>
          <w:p w:rsidR="00821201" w:rsidRDefault="00821201" w:rsidP="000B0C7B">
            <w:r>
              <w:t>Special Education Graduate</w:t>
            </w:r>
          </w:p>
        </w:tc>
        <w:tc>
          <w:tcPr>
            <w:tcW w:w="1948" w:type="dxa"/>
          </w:tcPr>
          <w:p w:rsidR="00821201" w:rsidRPr="00535D57" w:rsidRDefault="00EE0484" w:rsidP="00E36CD6">
            <w:pPr>
              <w:jc w:val="center"/>
              <w:rPr>
                <w:sz w:val="24"/>
                <w:szCs w:val="24"/>
              </w:rPr>
            </w:pPr>
            <w:r>
              <w:rPr>
                <w:sz w:val="24"/>
                <w:szCs w:val="24"/>
              </w:rPr>
              <w:t>3.60</w:t>
            </w:r>
          </w:p>
        </w:tc>
      </w:tr>
      <w:tr w:rsidR="00821201" w:rsidTr="000B0C7B">
        <w:trPr>
          <w:trHeight w:val="289"/>
        </w:trPr>
        <w:tc>
          <w:tcPr>
            <w:tcW w:w="7218" w:type="dxa"/>
          </w:tcPr>
          <w:p w:rsidR="00821201" w:rsidRDefault="00821201" w:rsidP="000B0C7B">
            <w:r>
              <w:t>Secondary Education – Mathematics undergraduate</w:t>
            </w:r>
          </w:p>
        </w:tc>
        <w:tc>
          <w:tcPr>
            <w:tcW w:w="1948" w:type="dxa"/>
          </w:tcPr>
          <w:p w:rsidR="00821201" w:rsidRPr="00535D57" w:rsidRDefault="009862C8" w:rsidP="00E36CD6">
            <w:pPr>
              <w:jc w:val="center"/>
              <w:rPr>
                <w:sz w:val="24"/>
                <w:szCs w:val="24"/>
              </w:rPr>
            </w:pPr>
            <w:r>
              <w:rPr>
                <w:sz w:val="24"/>
                <w:szCs w:val="24"/>
              </w:rPr>
              <w:t>3.63</w:t>
            </w:r>
          </w:p>
        </w:tc>
      </w:tr>
      <w:tr w:rsidR="00821201" w:rsidTr="000B0C7B">
        <w:trPr>
          <w:trHeight w:val="289"/>
        </w:trPr>
        <w:tc>
          <w:tcPr>
            <w:tcW w:w="7218" w:type="dxa"/>
          </w:tcPr>
          <w:p w:rsidR="00821201" w:rsidRDefault="00821201" w:rsidP="000B0C7B">
            <w:r>
              <w:t>Secondary Education – Mathematics graduate</w:t>
            </w:r>
          </w:p>
        </w:tc>
        <w:tc>
          <w:tcPr>
            <w:tcW w:w="1948" w:type="dxa"/>
          </w:tcPr>
          <w:p w:rsidR="00821201" w:rsidRPr="00535D57" w:rsidRDefault="009862C8" w:rsidP="00E36CD6">
            <w:pPr>
              <w:jc w:val="center"/>
              <w:rPr>
                <w:sz w:val="24"/>
                <w:szCs w:val="24"/>
              </w:rPr>
            </w:pPr>
            <w:r>
              <w:rPr>
                <w:sz w:val="24"/>
                <w:szCs w:val="24"/>
              </w:rPr>
              <w:t>3.50</w:t>
            </w:r>
          </w:p>
        </w:tc>
      </w:tr>
      <w:tr w:rsidR="00821201" w:rsidTr="000B0C7B">
        <w:trPr>
          <w:trHeight w:val="289"/>
        </w:trPr>
        <w:tc>
          <w:tcPr>
            <w:tcW w:w="7218" w:type="dxa"/>
          </w:tcPr>
          <w:p w:rsidR="00821201" w:rsidRDefault="00821201" w:rsidP="000B0C7B">
            <w:r>
              <w:t>Secondary Education – Science undergraduate</w:t>
            </w:r>
          </w:p>
        </w:tc>
        <w:tc>
          <w:tcPr>
            <w:tcW w:w="1948" w:type="dxa"/>
          </w:tcPr>
          <w:p w:rsidR="00821201" w:rsidRPr="00535D57" w:rsidRDefault="009862C8" w:rsidP="00E36CD6">
            <w:pPr>
              <w:jc w:val="center"/>
              <w:rPr>
                <w:sz w:val="24"/>
                <w:szCs w:val="24"/>
              </w:rPr>
            </w:pPr>
            <w:r>
              <w:rPr>
                <w:sz w:val="24"/>
                <w:szCs w:val="24"/>
              </w:rPr>
              <w:t>3.23</w:t>
            </w:r>
          </w:p>
        </w:tc>
      </w:tr>
      <w:tr w:rsidR="00821201" w:rsidTr="000B0C7B">
        <w:trPr>
          <w:trHeight w:val="289"/>
        </w:trPr>
        <w:tc>
          <w:tcPr>
            <w:tcW w:w="7218" w:type="dxa"/>
          </w:tcPr>
          <w:p w:rsidR="00821201" w:rsidRDefault="00821201" w:rsidP="000B0C7B">
            <w:r>
              <w:t>Secondary Education – Science graduate</w:t>
            </w:r>
          </w:p>
        </w:tc>
        <w:tc>
          <w:tcPr>
            <w:tcW w:w="1948" w:type="dxa"/>
          </w:tcPr>
          <w:p w:rsidR="00821201" w:rsidRPr="00535D57" w:rsidRDefault="009862C8" w:rsidP="00E36CD6">
            <w:pPr>
              <w:jc w:val="center"/>
              <w:rPr>
                <w:sz w:val="24"/>
                <w:szCs w:val="24"/>
              </w:rPr>
            </w:pPr>
            <w:r>
              <w:rPr>
                <w:sz w:val="24"/>
                <w:szCs w:val="24"/>
              </w:rPr>
              <w:t>N/A</w:t>
            </w:r>
          </w:p>
        </w:tc>
      </w:tr>
      <w:tr w:rsidR="00821201" w:rsidTr="000B0C7B">
        <w:trPr>
          <w:trHeight w:val="289"/>
        </w:trPr>
        <w:tc>
          <w:tcPr>
            <w:tcW w:w="7218" w:type="dxa"/>
          </w:tcPr>
          <w:p w:rsidR="00821201" w:rsidRDefault="00821201" w:rsidP="000B0C7B">
            <w:r>
              <w:t>Secondary Education – Social Science History undergraduate</w:t>
            </w:r>
          </w:p>
        </w:tc>
        <w:tc>
          <w:tcPr>
            <w:tcW w:w="1948" w:type="dxa"/>
          </w:tcPr>
          <w:p w:rsidR="00821201" w:rsidRPr="00535D57" w:rsidRDefault="009862C8" w:rsidP="00E36CD6">
            <w:pPr>
              <w:jc w:val="center"/>
              <w:rPr>
                <w:sz w:val="24"/>
                <w:szCs w:val="24"/>
              </w:rPr>
            </w:pPr>
            <w:r>
              <w:rPr>
                <w:sz w:val="24"/>
                <w:szCs w:val="24"/>
              </w:rPr>
              <w:t>3.15</w:t>
            </w:r>
          </w:p>
        </w:tc>
      </w:tr>
      <w:tr w:rsidR="00821201" w:rsidTr="000B0C7B">
        <w:trPr>
          <w:trHeight w:val="289"/>
        </w:trPr>
        <w:tc>
          <w:tcPr>
            <w:tcW w:w="7218" w:type="dxa"/>
          </w:tcPr>
          <w:p w:rsidR="00821201" w:rsidRDefault="00821201" w:rsidP="000B0C7B">
            <w:r>
              <w:t>Secondary Education – Social Science History Graduate</w:t>
            </w:r>
          </w:p>
        </w:tc>
        <w:tc>
          <w:tcPr>
            <w:tcW w:w="1948" w:type="dxa"/>
          </w:tcPr>
          <w:p w:rsidR="00821201" w:rsidRPr="00535D57" w:rsidRDefault="009862C8" w:rsidP="00E36CD6">
            <w:pPr>
              <w:jc w:val="center"/>
              <w:rPr>
                <w:sz w:val="24"/>
                <w:szCs w:val="24"/>
              </w:rPr>
            </w:pPr>
            <w:r>
              <w:rPr>
                <w:sz w:val="24"/>
                <w:szCs w:val="24"/>
              </w:rPr>
              <w:t>3.00</w:t>
            </w:r>
          </w:p>
        </w:tc>
      </w:tr>
      <w:tr w:rsidR="00821201" w:rsidTr="000B0C7B">
        <w:trPr>
          <w:trHeight w:val="289"/>
        </w:trPr>
        <w:tc>
          <w:tcPr>
            <w:tcW w:w="7218" w:type="dxa"/>
          </w:tcPr>
          <w:p w:rsidR="00821201" w:rsidRPr="00535D57" w:rsidRDefault="00821201" w:rsidP="000B0C7B">
            <w:pPr>
              <w:rPr>
                <w:b/>
              </w:rPr>
            </w:pPr>
            <w:r>
              <w:t>Secondary Education – Social Science Psychology undergraduate</w:t>
            </w:r>
          </w:p>
        </w:tc>
        <w:tc>
          <w:tcPr>
            <w:tcW w:w="1948" w:type="dxa"/>
          </w:tcPr>
          <w:p w:rsidR="00821201" w:rsidRPr="00535D57" w:rsidRDefault="009862C8" w:rsidP="00E36CD6">
            <w:pPr>
              <w:jc w:val="center"/>
              <w:rPr>
                <w:sz w:val="24"/>
                <w:szCs w:val="24"/>
              </w:rPr>
            </w:pPr>
            <w:r>
              <w:rPr>
                <w:sz w:val="24"/>
                <w:szCs w:val="24"/>
              </w:rPr>
              <w:t>N/A</w:t>
            </w:r>
          </w:p>
        </w:tc>
      </w:tr>
      <w:tr w:rsidR="00821201" w:rsidTr="000B0C7B">
        <w:trPr>
          <w:trHeight w:val="289"/>
        </w:trPr>
        <w:tc>
          <w:tcPr>
            <w:tcW w:w="7218" w:type="dxa"/>
          </w:tcPr>
          <w:p w:rsidR="00821201" w:rsidRDefault="00821201" w:rsidP="000B0C7B">
            <w:r>
              <w:t>Secondary Education - Social Science Psychology graduate</w:t>
            </w:r>
          </w:p>
        </w:tc>
        <w:tc>
          <w:tcPr>
            <w:tcW w:w="1948" w:type="dxa"/>
          </w:tcPr>
          <w:p w:rsidR="00821201" w:rsidRDefault="009862C8" w:rsidP="00E36CD6">
            <w:pPr>
              <w:jc w:val="center"/>
            </w:pPr>
            <w:r>
              <w:t>N/A</w:t>
            </w:r>
          </w:p>
        </w:tc>
      </w:tr>
      <w:tr w:rsidR="00821201" w:rsidTr="000B0C7B">
        <w:trPr>
          <w:trHeight w:val="289"/>
        </w:trPr>
        <w:tc>
          <w:tcPr>
            <w:tcW w:w="7218" w:type="dxa"/>
          </w:tcPr>
          <w:p w:rsidR="00821201" w:rsidRDefault="00821201" w:rsidP="000B0C7B">
            <w:r>
              <w:t>Secondary Education – English Language Arts undergraduate</w:t>
            </w:r>
          </w:p>
        </w:tc>
        <w:tc>
          <w:tcPr>
            <w:tcW w:w="1948" w:type="dxa"/>
          </w:tcPr>
          <w:p w:rsidR="00821201" w:rsidRDefault="009862C8" w:rsidP="00E36CD6">
            <w:pPr>
              <w:jc w:val="center"/>
            </w:pPr>
            <w:r>
              <w:t>3.68</w:t>
            </w:r>
          </w:p>
        </w:tc>
      </w:tr>
      <w:tr w:rsidR="00821201" w:rsidTr="000B0C7B">
        <w:trPr>
          <w:trHeight w:val="289"/>
        </w:trPr>
        <w:tc>
          <w:tcPr>
            <w:tcW w:w="7218" w:type="dxa"/>
          </w:tcPr>
          <w:p w:rsidR="00821201" w:rsidRDefault="00821201" w:rsidP="000B0C7B">
            <w:r>
              <w:t>Secondary Education - English Language Arts Graduate</w:t>
            </w:r>
          </w:p>
        </w:tc>
        <w:tc>
          <w:tcPr>
            <w:tcW w:w="1948" w:type="dxa"/>
          </w:tcPr>
          <w:p w:rsidR="00821201" w:rsidRDefault="009862C8" w:rsidP="00E36CD6">
            <w:pPr>
              <w:jc w:val="center"/>
            </w:pPr>
            <w:r>
              <w:t>3.87</w:t>
            </w:r>
          </w:p>
        </w:tc>
      </w:tr>
      <w:tr w:rsidR="00821201" w:rsidTr="000B0C7B">
        <w:trPr>
          <w:trHeight w:val="289"/>
        </w:trPr>
        <w:tc>
          <w:tcPr>
            <w:tcW w:w="7218" w:type="dxa"/>
          </w:tcPr>
          <w:p w:rsidR="00821201" w:rsidRDefault="00821201" w:rsidP="000B0C7B">
            <w:r w:rsidRPr="0037426F">
              <w:t xml:space="preserve">Secondary Education </w:t>
            </w:r>
            <w:r>
              <w:t xml:space="preserve"> Average of all candidates</w:t>
            </w:r>
          </w:p>
        </w:tc>
        <w:tc>
          <w:tcPr>
            <w:tcW w:w="1948" w:type="dxa"/>
          </w:tcPr>
          <w:p w:rsidR="00821201" w:rsidRDefault="009862C8" w:rsidP="00E36CD6">
            <w:pPr>
              <w:jc w:val="center"/>
            </w:pPr>
            <w:r>
              <w:t>3.44</w:t>
            </w:r>
          </w:p>
        </w:tc>
      </w:tr>
      <w:tr w:rsidR="00821201" w:rsidTr="000B0C7B">
        <w:trPr>
          <w:trHeight w:val="289"/>
        </w:trPr>
        <w:tc>
          <w:tcPr>
            <w:tcW w:w="7218" w:type="dxa"/>
          </w:tcPr>
          <w:p w:rsidR="00821201" w:rsidRPr="00821201" w:rsidRDefault="00821201" w:rsidP="000B0C7B">
            <w:pPr>
              <w:rPr>
                <w:b/>
                <w:sz w:val="24"/>
                <w:szCs w:val="24"/>
              </w:rPr>
            </w:pPr>
            <w:r w:rsidRPr="00821201">
              <w:rPr>
                <w:b/>
                <w:sz w:val="24"/>
                <w:szCs w:val="24"/>
              </w:rPr>
              <w:t>Initial Candidates Average</w:t>
            </w:r>
          </w:p>
        </w:tc>
        <w:tc>
          <w:tcPr>
            <w:tcW w:w="1948" w:type="dxa"/>
          </w:tcPr>
          <w:p w:rsidR="00821201" w:rsidRPr="009862C8" w:rsidRDefault="009862C8" w:rsidP="00E36CD6">
            <w:pPr>
              <w:jc w:val="center"/>
              <w:rPr>
                <w:b/>
              </w:rPr>
            </w:pPr>
            <w:r w:rsidRPr="009862C8">
              <w:rPr>
                <w:b/>
              </w:rPr>
              <w:t>3.49</w:t>
            </w:r>
          </w:p>
        </w:tc>
      </w:tr>
    </w:tbl>
    <w:p w:rsidR="00821201" w:rsidRDefault="00821201"/>
    <w:tbl>
      <w:tblPr>
        <w:tblStyle w:val="TableGrid"/>
        <w:tblW w:w="0" w:type="auto"/>
        <w:tblLook w:val="04A0" w:firstRow="1" w:lastRow="0" w:firstColumn="1" w:lastColumn="0" w:noHBand="0" w:noVBand="1"/>
      </w:tblPr>
      <w:tblGrid>
        <w:gridCol w:w="7218"/>
        <w:gridCol w:w="1980"/>
      </w:tblGrid>
      <w:tr w:rsidR="00821201" w:rsidTr="000B0C7B">
        <w:tc>
          <w:tcPr>
            <w:tcW w:w="7218" w:type="dxa"/>
          </w:tcPr>
          <w:p w:rsidR="00821201" w:rsidRPr="006815F8" w:rsidRDefault="00821201" w:rsidP="000B0C7B">
            <w:pPr>
              <w:rPr>
                <w:b/>
                <w:sz w:val="28"/>
                <w:szCs w:val="28"/>
              </w:rPr>
            </w:pPr>
            <w:r w:rsidRPr="006815F8">
              <w:rPr>
                <w:b/>
                <w:sz w:val="28"/>
                <w:szCs w:val="28"/>
              </w:rPr>
              <w:t>Advanced programs</w:t>
            </w:r>
          </w:p>
        </w:tc>
        <w:tc>
          <w:tcPr>
            <w:tcW w:w="1980" w:type="dxa"/>
          </w:tcPr>
          <w:p w:rsidR="00821201" w:rsidRDefault="00821201" w:rsidP="00E36CD6">
            <w:pPr>
              <w:jc w:val="center"/>
            </w:pPr>
            <w:r w:rsidRPr="00535D57">
              <w:rPr>
                <w:b/>
                <w:sz w:val="28"/>
                <w:szCs w:val="28"/>
              </w:rPr>
              <w:t>Mean Score</w:t>
            </w:r>
          </w:p>
        </w:tc>
      </w:tr>
      <w:tr w:rsidR="00821201" w:rsidTr="00821201">
        <w:tc>
          <w:tcPr>
            <w:tcW w:w="7218" w:type="dxa"/>
          </w:tcPr>
          <w:p w:rsidR="00821201" w:rsidRDefault="00821201" w:rsidP="00821201">
            <w:r>
              <w:t xml:space="preserve">Educational leadership:   Principal Preparation </w:t>
            </w:r>
          </w:p>
        </w:tc>
        <w:tc>
          <w:tcPr>
            <w:tcW w:w="1980" w:type="dxa"/>
          </w:tcPr>
          <w:p w:rsidR="00821201" w:rsidRDefault="00E36CD6" w:rsidP="00E36CD6">
            <w:pPr>
              <w:jc w:val="center"/>
            </w:pPr>
            <w:r>
              <w:t>2.71</w:t>
            </w:r>
          </w:p>
        </w:tc>
      </w:tr>
      <w:tr w:rsidR="00821201" w:rsidTr="000B0C7B">
        <w:tc>
          <w:tcPr>
            <w:tcW w:w="7218" w:type="dxa"/>
          </w:tcPr>
          <w:p w:rsidR="00821201" w:rsidRDefault="00821201" w:rsidP="000B0C7B">
            <w:r>
              <w:t>English as a Second Language</w:t>
            </w:r>
          </w:p>
        </w:tc>
        <w:tc>
          <w:tcPr>
            <w:tcW w:w="1980" w:type="dxa"/>
          </w:tcPr>
          <w:p w:rsidR="00821201" w:rsidRDefault="00975631" w:rsidP="00E36CD6">
            <w:pPr>
              <w:jc w:val="center"/>
            </w:pPr>
            <w:r>
              <w:t>2.00</w:t>
            </w:r>
            <w:r w:rsidR="007A3D49">
              <w:t>*</w:t>
            </w:r>
          </w:p>
        </w:tc>
      </w:tr>
      <w:tr w:rsidR="00821201" w:rsidTr="000B0C7B">
        <w:tc>
          <w:tcPr>
            <w:tcW w:w="7218" w:type="dxa"/>
          </w:tcPr>
          <w:p w:rsidR="00821201" w:rsidRDefault="00821201" w:rsidP="000B0C7B">
            <w:r>
              <w:t>Instructional Technology</w:t>
            </w:r>
          </w:p>
        </w:tc>
        <w:tc>
          <w:tcPr>
            <w:tcW w:w="1980" w:type="dxa"/>
          </w:tcPr>
          <w:p w:rsidR="00821201" w:rsidRDefault="00527F36" w:rsidP="00E36CD6">
            <w:pPr>
              <w:jc w:val="center"/>
            </w:pPr>
            <w:r>
              <w:t>N/A</w:t>
            </w:r>
          </w:p>
        </w:tc>
      </w:tr>
      <w:tr w:rsidR="00821201" w:rsidTr="000B0C7B">
        <w:tc>
          <w:tcPr>
            <w:tcW w:w="7218" w:type="dxa"/>
          </w:tcPr>
          <w:p w:rsidR="00821201" w:rsidRDefault="00821201" w:rsidP="000B0C7B">
            <w:r>
              <w:t>Reading and Literacy</w:t>
            </w:r>
          </w:p>
        </w:tc>
        <w:tc>
          <w:tcPr>
            <w:tcW w:w="1980" w:type="dxa"/>
          </w:tcPr>
          <w:p w:rsidR="00821201" w:rsidRDefault="002E2826" w:rsidP="00E36CD6">
            <w:pPr>
              <w:jc w:val="center"/>
            </w:pPr>
            <w:r>
              <w:t>2.82</w:t>
            </w:r>
          </w:p>
        </w:tc>
      </w:tr>
      <w:tr w:rsidR="007A3D49" w:rsidTr="000B0C7B">
        <w:tc>
          <w:tcPr>
            <w:tcW w:w="7218" w:type="dxa"/>
          </w:tcPr>
          <w:p w:rsidR="007A3D49" w:rsidRDefault="007A3D49" w:rsidP="000B0C7B">
            <w:r>
              <w:t>School Counseling</w:t>
            </w:r>
          </w:p>
        </w:tc>
        <w:tc>
          <w:tcPr>
            <w:tcW w:w="1980" w:type="dxa"/>
          </w:tcPr>
          <w:p w:rsidR="007A3D49" w:rsidRDefault="007A3D49" w:rsidP="00E36CD6">
            <w:pPr>
              <w:jc w:val="center"/>
            </w:pPr>
          </w:p>
        </w:tc>
      </w:tr>
      <w:tr w:rsidR="00821201" w:rsidTr="000B0C7B">
        <w:tc>
          <w:tcPr>
            <w:tcW w:w="7218" w:type="dxa"/>
          </w:tcPr>
          <w:p w:rsidR="00821201" w:rsidRPr="00821201" w:rsidRDefault="00821201" w:rsidP="000B0C7B">
            <w:pPr>
              <w:rPr>
                <w:b/>
                <w:sz w:val="24"/>
                <w:szCs w:val="24"/>
              </w:rPr>
            </w:pPr>
            <w:r w:rsidRPr="00821201">
              <w:rPr>
                <w:b/>
                <w:sz w:val="24"/>
                <w:szCs w:val="24"/>
              </w:rPr>
              <w:t>Advanced Programs Average</w:t>
            </w:r>
          </w:p>
        </w:tc>
        <w:tc>
          <w:tcPr>
            <w:tcW w:w="1980" w:type="dxa"/>
          </w:tcPr>
          <w:p w:rsidR="00821201" w:rsidRPr="00527F36" w:rsidRDefault="007A3D49" w:rsidP="00E36CD6">
            <w:pPr>
              <w:jc w:val="center"/>
              <w:rPr>
                <w:b/>
              </w:rPr>
            </w:pPr>
            <w:r>
              <w:rPr>
                <w:b/>
              </w:rPr>
              <w:t>NA</w:t>
            </w:r>
          </w:p>
        </w:tc>
      </w:tr>
    </w:tbl>
    <w:p w:rsidR="00821201" w:rsidRDefault="007A3D49" w:rsidP="007A3D49">
      <w:pPr>
        <w:pStyle w:val="ListParagraph"/>
        <w:numPr>
          <w:ilvl w:val="0"/>
          <w:numId w:val="1"/>
        </w:numPr>
      </w:pPr>
      <w:r>
        <w:t>ESL utilizes a 2 point scale</w:t>
      </w:r>
    </w:p>
    <w:p w:rsidR="007A3D49" w:rsidRDefault="007A3D49">
      <w:r>
        <w:t>Discussion:</w:t>
      </w:r>
    </w:p>
    <w:p w:rsidR="007A3D49" w:rsidRDefault="007A3D49">
      <w:r>
        <w:t xml:space="preserve">A review of results from the 2012-2013 school year indicate that candidates in the college of education at Lewis University meet performance expectations  in the assessment of the knowledge and skills they </w:t>
      </w:r>
      <w:r>
        <w:lastRenderedPageBreak/>
        <w:t>demonstrate in clinical practice.  A change in the instrument for initial candidates was implemented this year as the competencies are now measured on a 4 point scale rather than a 3 point scale.  The new clinical practice evaluation form was developed by a task force of university faculty who serve as supervisors in the field along with mentor teachers and administrators from our P-12 partner schools.  The goal of the task force was to create an evaluation form that provided both quantitative and qualitative feedback to the candidate and to more closely measure ability to meet the learning needs of all P-12 students</w:t>
      </w:r>
      <w:r w:rsidR="0061304D">
        <w:t>, demonstrate</w:t>
      </w:r>
      <w:r>
        <w:t xml:space="preserve"> cultural competence, assess learning of P-12 students, and integrate into the school community.   As the results show</w:t>
      </w:r>
      <w:r w:rsidR="0061304D">
        <w:t>,</w:t>
      </w:r>
      <w:r>
        <w:t xml:space="preserve"> the initial candidates performed well within expectations.  Some concern is noted on the unusually high average score of the elementary education undergraduate candidates and both the department and the unit will investigate the understanding of the competency ratings and how consistently they were applied.  As with any new assessment instrument there is a need to measure the reliability</w:t>
      </w:r>
      <w:r w:rsidR="0061304D">
        <w:t xml:space="preserve"> and validity of the instrument by both the university supervisor and the mentor teacher.</w:t>
      </w:r>
    </w:p>
    <w:p w:rsidR="0061304D" w:rsidRDefault="0061304D">
      <w:r>
        <w:t>In addition to a new instrument, the unit has engaged mentor teachers in a seminar to improve their clinical supervision skills including but not limited to use of the evaluation instrument.  These forums have provided practice and dialogue on how to effectively set goals for the teacher candidates and give specific and constructive feedback to improve their skills in the classroom.  In this seminar, stages of teacher development are introduced so that mentors will have an understanding of what is “average” performance by a novice so as not to over or under evaluate the candidate’s performance,</w:t>
      </w:r>
    </w:p>
    <w:p w:rsidR="0061304D" w:rsidRDefault="0061304D"/>
    <w:p w:rsidR="0061304D" w:rsidRDefault="0061304D">
      <w:r>
        <w:t>In the advanced program the methodology for measuring performance varies by program and it is therefore difficult to compare performance from one program to another.  Advanced candidates are generally in service teachers looking for additional licensure and an advanced degree.  Advanced candidates earn high ratings from their onsite mentors and university supervisors.</w:t>
      </w:r>
    </w:p>
    <w:p w:rsidR="0061304D" w:rsidRDefault="0061304D"/>
    <w:p w:rsidR="0061304D" w:rsidRDefault="0061304D"/>
    <w:p w:rsidR="0061304D" w:rsidRDefault="0061304D" w:rsidP="0061304D">
      <w:pPr>
        <w:rPr>
          <w:sz w:val="24"/>
          <w:szCs w:val="24"/>
        </w:rPr>
      </w:pPr>
      <w:r>
        <w:rPr>
          <w:sz w:val="24"/>
          <w:szCs w:val="24"/>
        </w:rPr>
        <w:t>Submitted:   October 17, 2013</w:t>
      </w:r>
    </w:p>
    <w:p w:rsidR="0061304D" w:rsidRDefault="0061304D" w:rsidP="0061304D">
      <w:pPr>
        <w:rPr>
          <w:sz w:val="24"/>
          <w:szCs w:val="24"/>
        </w:rPr>
      </w:pPr>
      <w:r>
        <w:rPr>
          <w:sz w:val="24"/>
          <w:szCs w:val="24"/>
        </w:rPr>
        <w:t>Dr. Pamela Jessee, Dean of the College of Education</w:t>
      </w:r>
    </w:p>
    <w:p w:rsidR="0061304D" w:rsidRDefault="0061304D"/>
    <w:sectPr w:rsidR="0061304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7A1" w:rsidRDefault="00EE47A1" w:rsidP="00033172">
      <w:pPr>
        <w:spacing w:after="0" w:line="240" w:lineRule="auto"/>
      </w:pPr>
      <w:r>
        <w:separator/>
      </w:r>
    </w:p>
  </w:endnote>
  <w:endnote w:type="continuationSeparator" w:id="0">
    <w:p w:rsidR="00EE47A1" w:rsidRDefault="00EE47A1" w:rsidP="0003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172" w:rsidRDefault="00EE47A1">
    <w:pPr>
      <w:pStyle w:val="Footer"/>
    </w:pPr>
    <w:r>
      <w:fldChar w:fldCharType="begin"/>
    </w:r>
    <w:r>
      <w:instrText xml:space="preserve"> FILENAME  \p  \* MERGEFORMAT </w:instrText>
    </w:r>
    <w:r>
      <w:fldChar w:fldCharType="separate"/>
    </w:r>
    <w:r w:rsidR="00585ECB">
      <w:rPr>
        <w:noProof/>
      </w:rPr>
      <w:t>C:\Users\BorkorBr\AppData\Local\Microsoft\Windows\Temporary Internet Files\Content.Outlook\K82TIDIB\Unit Assessment Report summary grid.docx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7A1" w:rsidRDefault="00EE47A1" w:rsidP="00033172">
      <w:pPr>
        <w:spacing w:after="0" w:line="240" w:lineRule="auto"/>
      </w:pPr>
      <w:r>
        <w:separator/>
      </w:r>
    </w:p>
  </w:footnote>
  <w:footnote w:type="continuationSeparator" w:id="0">
    <w:p w:rsidR="00EE47A1" w:rsidRDefault="00EE47A1" w:rsidP="000331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35400"/>
    <w:multiLevelType w:val="hybridMultilevel"/>
    <w:tmpl w:val="C4488F6E"/>
    <w:lvl w:ilvl="0" w:tplc="AC060A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201"/>
    <w:rsid w:val="00023092"/>
    <w:rsid w:val="00033172"/>
    <w:rsid w:val="00175DDC"/>
    <w:rsid w:val="001A2B4C"/>
    <w:rsid w:val="002E2826"/>
    <w:rsid w:val="00527F36"/>
    <w:rsid w:val="00585ECB"/>
    <w:rsid w:val="0061304D"/>
    <w:rsid w:val="00703D48"/>
    <w:rsid w:val="00723A33"/>
    <w:rsid w:val="007A3D49"/>
    <w:rsid w:val="00821201"/>
    <w:rsid w:val="008A5F20"/>
    <w:rsid w:val="0093466A"/>
    <w:rsid w:val="00975631"/>
    <w:rsid w:val="009862C8"/>
    <w:rsid w:val="00AF04ED"/>
    <w:rsid w:val="00C82B22"/>
    <w:rsid w:val="00E36CD6"/>
    <w:rsid w:val="00EE0484"/>
    <w:rsid w:val="00EE47A1"/>
    <w:rsid w:val="00F3592A"/>
    <w:rsid w:val="00FE23A7"/>
    <w:rsid w:val="00FE5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1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1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201"/>
    <w:rPr>
      <w:rFonts w:ascii="Tahoma" w:hAnsi="Tahoma" w:cs="Tahoma"/>
      <w:sz w:val="16"/>
      <w:szCs w:val="16"/>
    </w:rPr>
  </w:style>
  <w:style w:type="paragraph" w:styleId="Header">
    <w:name w:val="header"/>
    <w:basedOn w:val="Normal"/>
    <w:link w:val="HeaderChar"/>
    <w:uiPriority w:val="99"/>
    <w:unhideWhenUsed/>
    <w:rsid w:val="00033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172"/>
  </w:style>
  <w:style w:type="paragraph" w:styleId="Footer">
    <w:name w:val="footer"/>
    <w:basedOn w:val="Normal"/>
    <w:link w:val="FooterChar"/>
    <w:uiPriority w:val="99"/>
    <w:unhideWhenUsed/>
    <w:rsid w:val="00033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172"/>
  </w:style>
  <w:style w:type="paragraph" w:styleId="ListParagraph">
    <w:name w:val="List Paragraph"/>
    <w:basedOn w:val="Normal"/>
    <w:uiPriority w:val="34"/>
    <w:qFormat/>
    <w:rsid w:val="007A3D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1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1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201"/>
    <w:rPr>
      <w:rFonts w:ascii="Tahoma" w:hAnsi="Tahoma" w:cs="Tahoma"/>
      <w:sz w:val="16"/>
      <w:szCs w:val="16"/>
    </w:rPr>
  </w:style>
  <w:style w:type="paragraph" w:styleId="Header">
    <w:name w:val="header"/>
    <w:basedOn w:val="Normal"/>
    <w:link w:val="HeaderChar"/>
    <w:uiPriority w:val="99"/>
    <w:unhideWhenUsed/>
    <w:rsid w:val="00033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172"/>
  </w:style>
  <w:style w:type="paragraph" w:styleId="Footer">
    <w:name w:val="footer"/>
    <w:basedOn w:val="Normal"/>
    <w:link w:val="FooterChar"/>
    <w:uiPriority w:val="99"/>
    <w:unhideWhenUsed/>
    <w:rsid w:val="00033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172"/>
  </w:style>
  <w:style w:type="paragraph" w:styleId="ListParagraph">
    <w:name w:val="List Paragraph"/>
    <w:basedOn w:val="Normal"/>
    <w:uiPriority w:val="34"/>
    <w:qFormat/>
    <w:rsid w:val="007A3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44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Lewis University</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jesseepa</dc:creator>
  <cp:lastModifiedBy>haywarjo</cp:lastModifiedBy>
  <cp:revision>2</cp:revision>
  <cp:lastPrinted>2013-07-15T15:09:00Z</cp:lastPrinted>
  <dcterms:created xsi:type="dcterms:W3CDTF">2014-08-25T12:59:00Z</dcterms:created>
  <dcterms:modified xsi:type="dcterms:W3CDTF">2014-08-25T12:59:00Z</dcterms:modified>
</cp:coreProperties>
</file>